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0611" w14:textId="3D27BAF1" w:rsidR="0018429C" w:rsidRDefault="00134BC8">
      <w:r>
        <w:rPr>
          <w:rFonts w:ascii="Verdana" w:hAnsi="Verdana"/>
          <w:color w:val="000000"/>
          <w:sz w:val="17"/>
          <w:szCs w:val="17"/>
          <w:shd w:val="clear" w:color="auto" w:fill="FFFFFF"/>
        </w:rPr>
        <w:t xml:space="preserve">CRR plans need to be monitored, evaluated, and modified over time. Outline benchmarks and how achieve them. Paper details: A vital part of implementing any CRR plan is continually monitoring, evaluating, and modifying the plan after implementation and during the course or scope of the CRR plan. Develop a plan for identifying benchmarks and what would constitute achieving benchmarks, and provide secondary measures if milestones are not achieved. Procedures for monitoring CRR plans are not one-size-fits-all, so you need to look at your specific plan and the metrics you established for success to review and come up with a monitoring plan. See the community risk reduction (CRR) plan for a risk that your community faces “Home fires” below: “CRR Based on the data observed and our recent calls, we need to revisit the inspection department Bureau, especially on how the building department performs construction inspections and specifically necessary to review electrical and kitchen components before the fire Bureau approves a house safe for occupation. In addition, this department should focus on ensuring that a home is complete and meets the safety standards regarding the installations set up in the place for occupation and use by the proposed residents (Johnston &amp;Tyler, 2022). It is also essential for the department to understand that when residents decide to remodel or build a new home, they are primarily concerned about when they will be able to occupy it; as such, final approvals should be given with caution. Furthermore, the inspector must ensure that the equipment installed is suitable for the inspection. For example, many contractors install faulty appliances and highly flammable materials, have them installed in their building, and then gets construction approval based on the safety of such equipment and materials. Thus, the department must establish specific measures to ensure that what the developers install and materials match the specifics required in code safety. In addition, we need to cushion our residents from acquiring possibly faulty equipment, thus simplifying the verification process of an entire building. COMMUNITY IMPACT Based on data from the WPB city's fire department, in 2021, we have 152 total residents fire, lost three lives, and property worth more than $2,069,110.00 from house fires. From 1018 to 2019, the total residential fires were 74, and the loss of life was 3, with losses of $374,250.00. There was a more than 100percent increase in residential fires, and the community and county suffered from these casualties, culminating in additional costs to improve the lives of injured people and rebuild their lives. Over the last year, there have been many house fires in the city by faulty electrical and fires spread from highly flammable materials used in these homes, so we need to revisit the issue and find practical solutions to reduce them. BACKGROUND Based on the above information, it becomes necessary to identify or raise possible means of reducing the likelihood of house fires in the city. Therefore, we seek to improve the current situation that we have experienced over the last few decades, coupled with the advances in some of the identified appliances that cause house fires, in a way that matches current times and ensures that everyone remains safe and property is protected (Johnston &amp; Tyler, 2022). In addition, we must preserve every resource, whether human capital or otherwise, against possible losses arising from house fires. Based on data, most house fire incidences arise from faulty equipment, both kitchen-related and electrical malfunctions in a house set up and flame spread from flammable materials. Every individual residing in a particular house is habituated to using the available equipment based on how they understand it (Beasley </w:t>
      </w:r>
      <w:proofErr w:type="spellStart"/>
      <w:r>
        <w:rPr>
          <w:rFonts w:ascii="Verdana" w:hAnsi="Verdana"/>
          <w:color w:val="000000"/>
          <w:sz w:val="17"/>
          <w:szCs w:val="17"/>
          <w:shd w:val="clear" w:color="auto" w:fill="FFFFFF"/>
        </w:rPr>
        <w:t>etal</w:t>
      </w:r>
      <w:proofErr w:type="spellEnd"/>
      <w:r>
        <w:rPr>
          <w:rFonts w:ascii="Verdana" w:hAnsi="Verdana"/>
          <w:color w:val="000000"/>
          <w:sz w:val="17"/>
          <w:szCs w:val="17"/>
          <w:shd w:val="clear" w:color="auto" w:fill="FFFFFF"/>
        </w:rPr>
        <w:t>., 2018). Thus, it is evident that due to improper checks and reviews during the installation, adequate inspection of the equipment is needed when undertaken by the country's safety authorities to avoid future occurrences arising from faulty equipment and wrongful installations.” A vital part of implementing any CRR plan is continually monitoring, evaluating, and modifying the plan after implementation and during the course or scope of the CRR plan. Develop a plan for identifying benchmarks and what would constitute achieving benchmarks, and provide secondary measures if milestones are not achieved. Procedures for monitoring CRR plans are not one-size-fits-all, so you need to look at your specific plan and the metrics you established for success to review and come up with a monitoring plan. Your plan should be thorough with clear expectations of what each benchmark is and what clearly constitutes the standard of achievement. Include the components listed below. 1. Provide a clear timeline of reviews, what criteria will be reviewed, and how criteria will be rated for completion or achievement. 2. What specific data will be used for measuring achievement of the benchmarks? 3. Who is in charge of collecting and analyzing the data, and who reviews this person’s calculations for accuracy? 4. What contingency plans should be in place if benchmarks are not met? 5. How often should plan leaders and stakeholders meet to evaluate the plan? 6. If changes are necessary, how will these be communicated to team members, and is additional training necessary? 7. How will modifications to the plan be evaluated? Your completed plan for identifying CRR benchmarks must be at least two pages in length. Outside sources are not required for this assignment. If outside sources are used, please follow APA Style when creating citations and references for this assignment. </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C8"/>
    <w:rsid w:val="00134BC8"/>
    <w:rsid w:val="0018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F2F2"/>
  <w15:chartTrackingRefBased/>
  <w15:docId w15:val="{D09CF9DC-6381-421B-A23E-AE64EBF1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2022-08-29T17:09:00Z</dcterms:created>
  <dcterms:modified xsi:type="dcterms:W3CDTF">2022-08-29T17:09:00Z</dcterms:modified>
</cp:coreProperties>
</file>