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3094" w14:textId="1F6243D8" w:rsidR="00532AF8" w:rsidRDefault="00CA215E">
      <w:r>
        <w:rPr>
          <w:rFonts w:ascii="Verdana" w:hAnsi="Verdana"/>
          <w:color w:val="000000"/>
          <w:sz w:val="17"/>
          <w:szCs w:val="17"/>
          <w:shd w:val="clear" w:color="auto" w:fill="FFFFFF"/>
        </w:rPr>
        <w:t xml:space="preserve">Emotions in the workplace. Think of a time when your boss's emotions influenced how you felt at work. Offer your thoughtful analysis of that event here. In your response, consider addressing the following: 1. Can you recognize the distinction between catching an emotion (e.g., your boss is angry so you catch that anger) and reacting to an emotion (e.g., your boss is angry so you become afraid)? o Do you think that your emotional reaction was colored by the fact that you had already caught your boss's emotion? 2. How long did your emotional response last, and do you think it affected your long-term satisfaction with your job? Why or why not? 3. When you think of your most inspiring boss, what emotions did they display?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what extent were they inspiring because of this emotional component?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5E"/>
    <w:rsid w:val="00532AF8"/>
    <w:rsid w:val="00CA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25D2"/>
  <w15:chartTrackingRefBased/>
  <w15:docId w15:val="{15897DD2-59A2-4399-AE7F-30796915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2022-08-25T20:43:00Z</dcterms:created>
  <dcterms:modified xsi:type="dcterms:W3CDTF">2022-08-25T20:43:00Z</dcterms:modified>
</cp:coreProperties>
</file>