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8DF2" w14:textId="77777777" w:rsidR="00453AB9" w:rsidRPr="0067312F" w:rsidRDefault="0067312F" w:rsidP="0067312F">
      <w:r>
        <w:rPr>
          <w:rFonts w:ascii="Verdana" w:hAnsi="Verdana"/>
          <w:color w:val="000000"/>
          <w:sz w:val="17"/>
          <w:szCs w:val="17"/>
          <w:shd w:val="clear" w:color="auto" w:fill="FFFFFF"/>
        </w:rPr>
        <w:t xml:space="preserve">BUSM4591 Employment Law Assessment 2: Scenario based problems: Modern awards and enterprise agreement Assessment Type: Memorandum of Advice Word limit: 3,000 (+/– 10%) References: only 2 or 3 required in total as key legal rules are more important Overview (below and see attached Briefing doc) This assessment will involve demonstrating your understanding of Topic two through to Topic five of this course. The selected scenarios may not contain all of the information which you would require in real life to apply the law – this allows you to state your case based on reasonable assumptions that you make. Please note that in assessing your response, equal weighting will be attributed to all case scenarios so your word count should be equally distributed across both parts. (1000 words for each case) Your assignment should be presented in the form of a written memorandum of advice, addressed to your manager, which contains a clear legal assessment of the issues for each case, and sound recommendations for how each matter should be handled. Learning Outcomes • CLO 2 Understand key aspects of the relevant legislation and relevant case law. • CLO 3 Apply the key legal rules associated with a range of employment law issues. • CLO 4 Read and comprehend legislation. • CLO 5 Read and comprehend relevant common law. • CLO 6 Identify and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legal and associated issues in the context of relevant legislation and common law. • CLO 7 Express that analysis in writing in a precise manner. • CLO 8 Problem solve, involving the application of knowledge to current legal issues. After completion of this assessment you should be able to: − discuss the foundational principles of workplace law in Australia and in the global context − advise the rights and duties that arise from the employment relationship in given situations − contrast and compare the employment law framework applying to employees and employers in Australia − demonstrate sophisticated cognitive and creative skills in approaching legal issues relating to employment law and generate appropriate responses.</w:t>
      </w:r>
    </w:p>
    <w:sectPr w:rsidR="00453AB9" w:rsidRPr="0067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F"/>
    <w:rsid w:val="00453AB9"/>
    <w:rsid w:val="0067312F"/>
    <w:rsid w:val="00DA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274B"/>
  <w15:chartTrackingRefBased/>
  <w15:docId w15:val="{C3C486BD-E690-4E23-B4B7-82F3FB5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2022-08-30T19:18:00Z</dcterms:created>
  <dcterms:modified xsi:type="dcterms:W3CDTF">2022-08-30T19:18:00Z</dcterms:modified>
</cp:coreProperties>
</file>