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A9851" w14:textId="52A6F2FC" w:rsidR="00F95CFD" w:rsidRDefault="00CA72F8">
      <w:r>
        <w:rPr>
          <w:rFonts w:ascii="Verdana" w:hAnsi="Verdana"/>
          <w:color w:val="000000"/>
          <w:sz w:val="17"/>
          <w:szCs w:val="17"/>
          <w:shd w:val="clear" w:color="auto" w:fill="FFFFFF"/>
        </w:rPr>
        <w:t xml:space="preserve">Module 1 Ass HR Paper details: Goal: Read and review the selected case study from the required text, and answer the analysis questions. Read: Case 1-1: New HR Strategy Makes Lloyd’s a “Best Company" Format Requirements: Each answer is to be clear and concise, and students will lose points for improper grammar, punctuation, and spelling. Journal articles and books, if used, must be referenced according to APA style (please see https://owl.purdue.edu/owl/research_and_citation/apa_style/apa_overview_and_workshop.html (Links to an external site.) for assistance). You are to submit a file with a Microsoft word (.doc/.docx), rich text format (rtf), or a pdf file of your assignment. Submission Requirements: Please answer the questions at the end of the case for this case study. Your answers must present a research-based rationale (citing outside sources) when appropriate. For other questions, you are to use your knowledge of other business areas, your creativity, and own experience to provide solutions, recommendations, scenarios, and/or justifications in your response. Cases are due Sundays at 11:59 PM ET. From: Snell, S.A. &amp; Morris, S.H. (2019). Managing Human </w:t>
      </w:r>
      <w:proofErr w:type="gramStart"/>
      <w:r>
        <w:rPr>
          <w:rFonts w:ascii="Verdana" w:hAnsi="Verdana"/>
          <w:color w:val="000000"/>
          <w:sz w:val="17"/>
          <w:szCs w:val="17"/>
          <w:shd w:val="clear" w:color="auto" w:fill="FFFFFF"/>
        </w:rPr>
        <w:t>Resources(</w:t>
      </w:r>
      <w:proofErr w:type="gramEnd"/>
      <w:r>
        <w:rPr>
          <w:rFonts w:ascii="Verdana" w:hAnsi="Verdana"/>
          <w:color w:val="000000"/>
          <w:sz w:val="17"/>
          <w:szCs w:val="17"/>
          <w:shd w:val="clear" w:color="auto" w:fill="FFFFFF"/>
        </w:rPr>
        <w:t>18th ed.). Boston, MA: Cengage Learning, INC.…</w:t>
      </w:r>
    </w:p>
    <w:sectPr w:rsidR="00F95C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F8"/>
    <w:rsid w:val="00CA72F8"/>
    <w:rsid w:val="00F9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BC51E"/>
  <w15:chartTrackingRefBased/>
  <w15:docId w15:val="{B8D281E8-ECAA-4373-9552-506F2748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2022-08-23T09:13:00Z</dcterms:created>
  <dcterms:modified xsi:type="dcterms:W3CDTF">2022-08-23T09:13:00Z</dcterms:modified>
</cp:coreProperties>
</file>