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101" w14:textId="2AAB9162" w:rsidR="008B3899" w:rsidRDefault="00F12F75">
      <w:r>
        <w:rPr>
          <w:rFonts w:ascii="Verdana" w:hAnsi="Verdana"/>
          <w:color w:val="000000"/>
          <w:sz w:val="17"/>
          <w:szCs w:val="17"/>
          <w:shd w:val="clear" w:color="auto" w:fill="FFFFFF"/>
        </w:rPr>
        <w:t>Health Outcome Variation &amp; Behavioral Risk Factor Surveillance System (BRFSS). Passed in October 2020, Part 11 of Public Health regulations was put into law surrounding Clinical Trials Registration and Results Information Submission. This part implements sections 402J of the Public Health Service Act and introduces requirements and procedures for the submission of clinical trial information to the National Institute of Health and requires that they be made public in the clinical trial registry and results data bank. This requirement requires that the principal investigator be registered in the database and updated if this information changes. Additionally, the responsible parties are required to report any adverse events, who is involved, what the clinical trial is and who the participants are, and what the results of the trial are. This regulation also outlines when this information must be submitted by in regard to the start and end of the trial and finally, what the fines and consequences would involve if the regulation is not followed. Requirement: Although correlation is not causation, one of the ways we can determine if the policies we pass might have had an impact on a population is through data comparison. The (BRFSS) through the CDC can be a source of such data. https://www.cdc.gov/brfss/brfssprevalence/index.html This criterion is linked to a Learning Outcome Response Appropriateness- Responds to a person who posted on a different policy than own personal posting. This criterion is linked to a Learning Outcome BRFSS Appropriateness- Selected a chronic health indicator and appropriate years Look at the crude prevalence rate the year before their policy was passed and compare it to the crude rate in 2020 (last year available). Has it gone up or down? Do you think that their chosen policy had any impact on it? Explain your reasoning.</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75"/>
    <w:rsid w:val="008B3899"/>
    <w:rsid w:val="00F1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7C2E"/>
  <w15:chartTrackingRefBased/>
  <w15:docId w15:val="{D0B52827-14B7-4289-A7DE-2C5CA710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2022-09-20T15:07:00Z</dcterms:created>
  <dcterms:modified xsi:type="dcterms:W3CDTF">2022-09-20T15:07:00Z</dcterms:modified>
</cp:coreProperties>
</file>