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82A" w14:textId="324909A8" w:rsidR="004B6A12" w:rsidRDefault="001F0A74">
      <w:r>
        <w:rPr>
          <w:rFonts w:ascii="Verdana" w:hAnsi="Verdana"/>
          <w:color w:val="000000"/>
          <w:sz w:val="17"/>
          <w:szCs w:val="17"/>
          <w:shd w:val="clear" w:color="auto" w:fill="FFFFFF"/>
        </w:rPr>
        <w:t>Early Life Experiences Application Essay – Conception through Early Childhood. Paper instructions: at least three (3) events or aspects of your personal life about which your understanding has been expanded due to studying for this class and write about how what you learned connects to or informs you about this event or personal aspect. You may include memories of your own childhood or accounts of others of your childhood, experiences of your own child, niece, etc., or anticipation of future events (becoming a parent, birth of a child, supporting families as a health care practitioner or teacher, etc.). You should be intimately connected to the events and individuals in order to provide the level of detail and connection needed. Include APA formatted in text citations including page numbers for the source of the content and a full APA reference at the end of the paper. Students must also apply content accurately to their own developmental experiences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74"/>
    <w:rsid w:val="001F0A74"/>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A804"/>
  <w15:chartTrackingRefBased/>
  <w15:docId w15:val="{E2F76B89-29DC-496D-9002-1BD8E5FA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2022-09-22T20:01:00Z</dcterms:created>
  <dcterms:modified xsi:type="dcterms:W3CDTF">2022-09-22T20:01:00Z</dcterms:modified>
</cp:coreProperties>
</file>