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76F8" w14:textId="59A80994" w:rsidR="000E385D" w:rsidRDefault="00E52223">
      <w:r>
        <w:rPr>
          <w:rFonts w:ascii="Verdana" w:hAnsi="Verdana"/>
          <w:color w:val="000000"/>
          <w:sz w:val="17"/>
          <w:szCs w:val="17"/>
          <w:shd w:val="clear" w:color="auto" w:fill="FFFFFF"/>
        </w:rPr>
        <w:t xml:space="preserve">Write 500+ words (references do not count) on the importance of bracketing in counseling, how identifying their own values, origin of these values and how honestly owning personal values may affect someone's ability to work within environments. What personal or professional work should a counselor do to work around issues they may have that trigger them or prevent them from providing adequate or ethical care? You must include at least 3 scholarly references.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23"/>
    <w:rsid w:val="000E385D"/>
    <w:rsid w:val="00E5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67D5"/>
  <w15:chartTrackingRefBased/>
  <w15:docId w15:val="{263FD313-F02E-4DB6-884A-BC224979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2022-09-02T08:57:00Z</dcterms:created>
  <dcterms:modified xsi:type="dcterms:W3CDTF">2022-09-02T08:57:00Z</dcterms:modified>
</cp:coreProperties>
</file>