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CBFE" w14:textId="27B6D416" w:rsidR="008B3899" w:rsidRDefault="0052076F">
      <w:r>
        <w:rPr>
          <w:rFonts w:ascii="Verdana" w:hAnsi="Verdana"/>
          <w:color w:val="000000"/>
          <w:sz w:val="17"/>
          <w:szCs w:val="17"/>
          <w:shd w:val="clear" w:color="auto" w:fill="FFFFFF"/>
        </w:rPr>
        <w:t>Traditionally wine bottles were almost always sealed with a natural cork. More recently, many alternative (non-cork and cork) closures have been developed in response to the various problems related to the use of cork. There has been a response from the cork industry through improved effectiveness within the various cork closure options. There has also been a focus on promoting the benefits of cork. 1) Outline the reasons for the development of alternative closures to cork. 2) Evaluate the non-cork closure options available for sealing a glass bottle. 3) Examine the cork industry’s response to the issues with its product and to the competition.</w:t>
      </w:r>
    </w:p>
    <w:sectPr w:rsidR="008B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6F"/>
    <w:rsid w:val="0052076F"/>
    <w:rsid w:val="008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E964"/>
  <w15:chartTrackingRefBased/>
  <w15:docId w15:val="{4FECBC4E-A6A4-468F-931F-0D2FDF5D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2022-09-20T15:02:00Z</dcterms:created>
  <dcterms:modified xsi:type="dcterms:W3CDTF">2022-09-20T15:02:00Z</dcterms:modified>
</cp:coreProperties>
</file>