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AB23" w14:textId="2A82FF56" w:rsidR="004E6210" w:rsidRDefault="00F530BA">
      <w:r>
        <w:rPr>
          <w:rFonts w:ascii="Verdana" w:hAnsi="Verdana"/>
          <w:color w:val="000000"/>
          <w:sz w:val="17"/>
          <w:szCs w:val="17"/>
          <w:shd w:val="clear" w:color="auto" w:fill="FFFFFF"/>
        </w:rPr>
        <w:t>Question 1: Explain why a historian might not think that this passage provides enough evidence to understand the role of railroad workers during this strike in Columbus? Question 2: Three documents are described below. Explain whether each document could be used to support the newspaper’s account of the role of the railroad workers in the protest. If the document could not be used to support the newspaper’s account, explain why not. a.) A July 26, 1877 editorial condemning the railroad workers for their role in the violence by a Columbus newspaper known to be sympathetic to the railroad owners. b.) A police file on those arrested during riots in St. Louis, Missouri indicates that many of the rioters were railroad workers. c.) A letter was written by a railroad worker two days after the protest that describes how he and his co-workers refused to participate in the violence.</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BA"/>
    <w:rsid w:val="004E6210"/>
    <w:rsid w:val="00F5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790B"/>
  <w15:chartTrackingRefBased/>
  <w15:docId w15:val="{E68F5822-C3E4-4206-94C1-38E2B201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2022-09-08T18:47:00Z</dcterms:created>
  <dcterms:modified xsi:type="dcterms:W3CDTF">2022-09-08T18:47:00Z</dcterms:modified>
</cp:coreProperties>
</file>