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5B2A" w14:textId="3BD3E651" w:rsidR="002C399B" w:rsidRDefault="00082B31">
      <w:r>
        <w:rPr>
          <w:rFonts w:ascii="Verdana" w:hAnsi="Verdana"/>
          <w:color w:val="000000"/>
          <w:sz w:val="17"/>
          <w:szCs w:val="17"/>
          <w:shd w:val="clear" w:color="auto" w:fill="FFFFFF"/>
        </w:rPr>
        <w:t>Competency- Assess corporate responsibility for organizational success. Student Success Criteria View the grading rubric for this deliverable by selecting the “This item is graded with a rubric” link, which is located in the Details &amp; Information pane. Scenario You have been hired as VP of Operations and part of the executive team of a U.S. based company. Due to conventional thinking, the shareholders of the organization feel the focus on promoting environmental efforts and increasing employee benefits may have a negative impact on profitability. Given that you have successfully implemented a corporate social responsibility plan for a global organization in your previous role, you are asked by the Board of Directors to create an executive summary that outlines and analyzes how additional investment in the workforce and the environment can increase the organization’s profits. Instructions Write an executive summary in Microsoft Word (minimum three pages) that analyzes how additional investment in the workforce and the environment can increase the organization’s profits. Address the following: What is the triple bottom line, and why is it beneficial to move toward a corporate social responsibility model? How can the risk of financial capital and the allocation of resources result in positive returns? What ethical issues could arise from this initiative? What are the consequences if corporate social responsibility (CSR) is not addressed? Provide attribution for credible sources used in the professional executive summary.</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B31"/>
    <w:rsid w:val="00082B31"/>
    <w:rsid w:val="002C3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2E7D2"/>
  <w15:chartTrackingRefBased/>
  <w15:docId w15:val="{0403BDBB-BA77-4D38-8CFC-CF21FAEAF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2022-10-05T18:10:00Z</dcterms:created>
  <dcterms:modified xsi:type="dcterms:W3CDTF">2022-10-05T18:10:00Z</dcterms:modified>
</cp:coreProperties>
</file>