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FCFFA" w14:textId="72938916" w:rsidR="0087768E" w:rsidRDefault="008E725E">
      <w:r>
        <w:rPr>
          <w:rFonts w:ascii="Verdana" w:hAnsi="Verdana"/>
          <w:color w:val="000000"/>
          <w:sz w:val="17"/>
          <w:szCs w:val="17"/>
          <w:shd w:val="clear" w:color="auto" w:fill="FFFFFF"/>
        </w:rPr>
        <w:t xml:space="preserve">Criminal Trial Paper details: The Sixth Amendment and various statutory provisions provide numerous procedural protections to those accused of crimes. Statutes of limitations provide </w:t>
      </w:r>
      <w:proofErr w:type="spellStart"/>
      <w:r>
        <w:rPr>
          <w:rFonts w:ascii="Verdana" w:hAnsi="Verdana"/>
          <w:color w:val="000000"/>
          <w:sz w:val="17"/>
          <w:szCs w:val="17"/>
          <w:shd w:val="clear" w:color="auto" w:fill="FFFFFF"/>
        </w:rPr>
        <w:t>preaccusation</w:t>
      </w:r>
      <w:proofErr w:type="spellEnd"/>
      <w:r>
        <w:rPr>
          <w:rFonts w:ascii="Verdana" w:hAnsi="Verdana"/>
          <w:color w:val="000000"/>
          <w:sz w:val="17"/>
          <w:szCs w:val="17"/>
          <w:shd w:val="clear" w:color="auto" w:fill="FFFFFF"/>
        </w:rPr>
        <w:t xml:space="preserve"> protections by requiring that prosecutions commence within a specified period of time from the date of the alleged commission of the offense. Due process also provides </w:t>
      </w:r>
      <w:proofErr w:type="spellStart"/>
      <w:r>
        <w:rPr>
          <w:rFonts w:ascii="Verdana" w:hAnsi="Verdana"/>
          <w:color w:val="000000"/>
          <w:sz w:val="17"/>
          <w:szCs w:val="17"/>
          <w:shd w:val="clear" w:color="auto" w:fill="FFFFFF"/>
        </w:rPr>
        <w:t>preaccusation</w:t>
      </w:r>
      <w:proofErr w:type="spellEnd"/>
      <w:r>
        <w:rPr>
          <w:rFonts w:ascii="Verdana" w:hAnsi="Verdana"/>
          <w:color w:val="000000"/>
          <w:sz w:val="17"/>
          <w:szCs w:val="17"/>
          <w:shd w:val="clear" w:color="auto" w:fill="FFFFFF"/>
        </w:rPr>
        <w:t xml:space="preserve"> even if an indictment is brought within the prescribed statute of limitations if the government unreasonably delayed prosecution either to harass a defendant or to gain a tactical advantage for itself in a manner which causes actual prejudice to the defendant. Compare and contrast the constitution and statutory protections designed to protect those suspected of having committed criminal acts from facing prejudicial delays in having their cases brought to trial. Then, explain the difference between a testimonial and nontestimonial communication for the purpose of the Confrontation Clause. Support your responses with external content and be sure to cite your source in APA format</w:t>
      </w:r>
    </w:p>
    <w:sectPr w:rsidR="00877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5E"/>
    <w:rsid w:val="0087768E"/>
    <w:rsid w:val="008E7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BD2F1"/>
  <w15:chartTrackingRefBased/>
  <w15:docId w15:val="{A9859E4D-D1E5-419B-9AFD-3BB86AC5D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907</Characters>
  <Application>Microsoft Office Word</Application>
  <DocSecurity>0</DocSecurity>
  <Lines>7</Lines>
  <Paragraphs>2</Paragraphs>
  <ScaleCrop>false</ScaleCrop>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2022-10-19T19:13:00Z</dcterms:created>
  <dcterms:modified xsi:type="dcterms:W3CDTF">2022-10-19T19:13:00Z</dcterms:modified>
</cp:coreProperties>
</file>