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7A08" w14:textId="4A1C2129" w:rsidR="00C34BEA" w:rsidRDefault="00825181">
      <w:r>
        <w:rPr>
          <w:rFonts w:ascii="Verdana" w:hAnsi="Verdana"/>
          <w:color w:val="000000"/>
          <w:sz w:val="17"/>
          <w:szCs w:val="17"/>
          <w:shd w:val="clear" w:color="auto" w:fill="FFFFFF"/>
        </w:rPr>
        <w:t xml:space="preserve">Paper instructions: Review the code of ethics for human service professionals (you can find it online at (http://www.nationalhumanservices.org/ethical-standards-for-hs-professionals) and counselors (http://www.counseling.org/resources/codeofethics/TP/home/ct2.aspx) for guidelines that relate specifically to managed care and working with families and potentially violent clients and answer the following questions. When you reach the American Counseling Association website, go to the Knowledge Center, click Ethics and then click Code of Ethics to access the code. You will then be able to download the code. Please number and type the question and then your answer to each question. Include the number of the section of the code that you are referring to in your answer. This exercise provides experience in reading and interpreting ethical standards for the profession. What are the guidelines in each of the two codes that relate to working with families? Compare the guidelines from the two codes. What is similar? What is different? How would these guidelines help you resolve the issues presented in the case of Mrs. X and her son and daughter in this chapter (p. 121)? What are the guidelines in each of the two codes that relate to working with violent clients? Compare the guidelines from the two codes. What is similar? What is different? How would these guidelines help you resolve the issues presented in the case of Susan in this chapter (p. 125)? What are the guidelines in each of the two codes that relate to working with managed care? Compare the two codes to this issue. What is similar? What is different? How would these guidelines help you resolve the issues presented in the case of </w:t>
      </w:r>
      <w:proofErr w:type="spellStart"/>
      <w:r>
        <w:rPr>
          <w:rFonts w:ascii="Verdana" w:hAnsi="Verdana"/>
          <w:color w:val="000000"/>
          <w:sz w:val="17"/>
          <w:szCs w:val="17"/>
          <w:shd w:val="clear" w:color="auto" w:fill="FFFFFF"/>
        </w:rPr>
        <w:t>Zhewei</w:t>
      </w:r>
      <w:proofErr w:type="spellEnd"/>
      <w:r>
        <w:rPr>
          <w:rFonts w:ascii="Verdana" w:hAnsi="Verdana"/>
          <w:color w:val="000000"/>
          <w:sz w:val="17"/>
          <w:szCs w:val="17"/>
          <w:shd w:val="clear" w:color="auto" w:fill="FFFFFF"/>
        </w:rPr>
        <w:t xml:space="preserve"> in this chapter (p. 133)?</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81"/>
    <w:rsid w:val="00825181"/>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CEDF"/>
  <w15:chartTrackingRefBased/>
  <w15:docId w15:val="{DE4DFD77-16BA-4E34-9D9A-0B0460D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2022-10-15T09:19:00Z</dcterms:created>
  <dcterms:modified xsi:type="dcterms:W3CDTF">2022-10-15T09:19:00Z</dcterms:modified>
</cp:coreProperties>
</file>