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73A1" w14:textId="645F2BBE" w:rsidR="00EB2022" w:rsidRDefault="000815F9">
      <w:r>
        <w:rPr>
          <w:rFonts w:ascii="Verdana" w:hAnsi="Verdana"/>
          <w:color w:val="000000"/>
          <w:sz w:val="17"/>
          <w:szCs w:val="17"/>
          <w:shd w:val="clear" w:color="auto" w:fill="FFFFFF"/>
        </w:rPr>
        <w:t xml:space="preserve">Paper details: instructor reported 21 % similarity score </w:t>
      </w:r>
      <w:proofErr w:type="gramStart"/>
      <w:r>
        <w:rPr>
          <w:rFonts w:ascii="Verdana" w:hAnsi="Verdana"/>
          <w:color w:val="000000"/>
          <w:sz w:val="17"/>
          <w:szCs w:val="17"/>
          <w:shd w:val="clear" w:color="auto" w:fill="FFFFFF"/>
        </w:rPr>
        <w:t>From</w:t>
      </w:r>
      <w:proofErr w:type="gramEnd"/>
      <w:r>
        <w:rPr>
          <w:rFonts w:ascii="Verdana" w:hAnsi="Verdana"/>
          <w:color w:val="000000"/>
          <w:sz w:val="17"/>
          <w:szCs w:val="17"/>
          <w:shd w:val="clear" w:color="auto" w:fill="FFFFFF"/>
        </w:rPr>
        <w:t xml:space="preserve"> the perspective of your specific discipline, write a paper of 500-750 words in which you address the following: Discuss strategies for promoting resilience, optimum development, and wellness in adults. Going a step further, discuss ethical issues and cultural strategies that come into play while promoting resilience, optimum development, and wellness in adults. Compare and contrast the possible selves and the stages of reflective judgment theories from the text. Prepare this assignment according to the guidelines found in the APA Style Guide, located in the Student Success Center. This assignment uses a rubric. Please review the rubric prior to beginning the assignment to become familiar with the expectations for successful completion. You are required to submit this assignment to LopesWrite. A link to the LopesWrite technical support articles is located in Course Resources if you need assistance. This assignment is informed by the following CACREP Standard: 2.F.3.i. Ethical and culturally relevant strategies for promoting resilience and optimum development and wellness across the lifespan. Show less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F9"/>
    <w:rsid w:val="000815F9"/>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2D04"/>
  <w15:chartTrackingRefBased/>
  <w15:docId w15:val="{0AEEB16B-F7A9-4CDC-AE65-93876A89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2022-10-30T20:48:00Z</dcterms:created>
  <dcterms:modified xsi:type="dcterms:W3CDTF">2022-10-30T20:48:00Z</dcterms:modified>
</cp:coreProperties>
</file>