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B390" w14:textId="2D5DB76A" w:rsidR="00EB2022" w:rsidRDefault="009569DE">
      <w:r>
        <w:rPr>
          <w:rFonts w:ascii="Verdana" w:hAnsi="Verdana"/>
          <w:color w:val="000000"/>
          <w:sz w:val="17"/>
          <w:szCs w:val="17"/>
          <w:shd w:val="clear" w:color="auto" w:fill="FFFFFF"/>
        </w:rPr>
        <w:t>Weighing Veracity and Nonmaleficence</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You are a second-year nursing student. During the first year of the nursing program, you formed a close friendship with Susan, another nursing student, and the two of you spend many of your free evenings and weekends together doing fun things. The only thing that drives you a bit crazy about your friend is that she is incredibly messy. When you go to her home, you usually see dirty dishes piled in the sink, dog hair over all the furniture, clothing strewn all over the apartment, and uneaten pizza or other half spoiled food sitting on the floor. You attempt to limit your time at her apartment because it is so bothersome to you, so it has not been a factor in your friendship. Today, when Susan and you are sitting at the dining table in your apartment, your current roommate tells you that she is unexpectedly vacating her lease at the end of the month. Susan becomes excited and shares that her lease will end at the end of this month as well and suggests how much fun it would be if the two of you could move in together. She immediately begins talking about when she could move in, where she would locate her furniture in the apartment, and where her dog might stay when the two of you are in clinical. Although you value Susan’s friendship and really enjoy the time you spend together, the idea of living with someone as untidy as Susan is not something you want to do. Unfortunately, your current lease does not preclude pets or subleases. ASSIGNMENT: 1. List which Learning Exercise you are solving at the start of your analysis and provide a brief summary of the case. 2. Be sure to apply an appropriate </w:t>
      </w:r>
      <w:proofErr w:type="spellStart"/>
      <w:r>
        <w:rPr>
          <w:rFonts w:ascii="Verdana" w:hAnsi="Verdana"/>
          <w:color w:val="000000"/>
          <w:sz w:val="17"/>
          <w:szCs w:val="17"/>
          <w:shd w:val="clear" w:color="auto" w:fill="FFFFFF"/>
        </w:rPr>
        <w:t>problemsolving</w:t>
      </w:r>
      <w:proofErr w:type="spellEnd"/>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decisionmaking</w:t>
      </w:r>
      <w:proofErr w:type="spellEnd"/>
      <w:r>
        <w:rPr>
          <w:rFonts w:ascii="Verdana" w:hAnsi="Verdana"/>
          <w:color w:val="000000"/>
          <w:sz w:val="17"/>
          <w:szCs w:val="17"/>
          <w:shd w:val="clear" w:color="auto" w:fill="FFFFFF"/>
        </w:rPr>
        <w:t xml:space="preserve"> model (Traditional Problem-Solving Process, </w:t>
      </w:r>
      <w:proofErr w:type="spellStart"/>
      <w:r>
        <w:rPr>
          <w:rFonts w:ascii="Verdana" w:hAnsi="Verdana"/>
          <w:color w:val="000000"/>
          <w:sz w:val="17"/>
          <w:szCs w:val="17"/>
          <w:shd w:val="clear" w:color="auto" w:fill="FFFFFF"/>
        </w:rPr>
        <w:t>DecisionMaking</w:t>
      </w:r>
      <w:proofErr w:type="spellEnd"/>
      <w:r>
        <w:rPr>
          <w:rFonts w:ascii="Verdana" w:hAnsi="Verdana"/>
          <w:color w:val="000000"/>
          <w:sz w:val="17"/>
          <w:szCs w:val="17"/>
          <w:shd w:val="clear" w:color="auto" w:fill="FFFFFF"/>
        </w:rPr>
        <w:t xml:space="preserve"> Model, The Nursing Process, or the Integrated Ethical </w:t>
      </w:r>
      <w:proofErr w:type="spellStart"/>
      <w:r>
        <w:rPr>
          <w:rFonts w:ascii="Verdana" w:hAnsi="Verdana"/>
          <w:color w:val="000000"/>
          <w:sz w:val="17"/>
          <w:szCs w:val="17"/>
          <w:shd w:val="clear" w:color="auto" w:fill="FFFFFF"/>
        </w:rPr>
        <w:t>ProblemSolving</w:t>
      </w:r>
      <w:proofErr w:type="spellEnd"/>
      <w:r>
        <w:rPr>
          <w:rFonts w:ascii="Verdana" w:hAnsi="Verdana"/>
          <w:color w:val="000000"/>
          <w:sz w:val="17"/>
          <w:szCs w:val="17"/>
          <w:shd w:val="clear" w:color="auto" w:fill="FFFFFF"/>
        </w:rPr>
        <w:t xml:space="preserve"> Model) in determining what you should do. 3. Justify your decision with supporting evidence. Decide how you will respond to Susan. Will you tell her the truth? Are your values regarding veracity stronger or weaker than your desire to cause no harm to Susan’s feelings (nonmaleficence)? Use APA formatting, 12-point type font, double spacing, indenting of each paragraph, and proper spelling and grammar. You do not need a title page or a separate “References” sheet, but a “References” section should be included at the end of your posting if you cite sources. Writing Expectations—2 to 3 pages, double-spaced, in length, not counting title page and references. APA format required (title page, citations in body of paper, and reference list). The steps of the problem-solving or decision-making model chosen should be used as subheadings for the paper. Each analysis should include a brief introduction and conclusion. Be sure to identify numerically which Learning Exercise is being analyzed.</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DE"/>
    <w:rsid w:val="009569D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746A"/>
  <w15:chartTrackingRefBased/>
  <w15:docId w15:val="{716674FF-2005-45B2-BE22-381C9C1A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2022-11-07T10:14:00Z</dcterms:created>
  <dcterms:modified xsi:type="dcterms:W3CDTF">2022-11-07T10:14:00Z</dcterms:modified>
</cp:coreProperties>
</file>