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2518" w14:textId="78E09014" w:rsidR="00C56133" w:rsidRDefault="00C5539A">
      <w:r>
        <w:rPr>
          <w:rFonts w:ascii="Verdana" w:hAnsi="Verdana"/>
          <w:color w:val="000000"/>
          <w:sz w:val="17"/>
          <w:szCs w:val="17"/>
          <w:shd w:val="clear" w:color="auto" w:fill="FFFFFF"/>
        </w:rPr>
        <w:t>Triple Bottom Line. Paper details: Triple Bottom Line Frame Work - https://online.hbs.edu/blog/post/what-is-the-triple-bottom-line Similarities: Explain the similarities that exist between incorporating the Triple Bottom Line (TBL) framework into both the service industry and the manufacturing industry, and why. Differences: Explain the differences that exist between incorporating the TBL framework into the service industry and the manufacturing industry, and why. Example Strategies: Provide an example of a strategy that is appropriate to use across both the service and the manufacturing industries, and provide an example that is specific to either the service or the manufacturing industry when considering people, planet, or profit through the TBL framework. Include a brief explanation of what each example demonstrates. </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9A"/>
    <w:rsid w:val="00C5539A"/>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0540"/>
  <w15:chartTrackingRefBased/>
  <w15:docId w15:val="{5AE42E1A-EA20-4F5B-8B0C-68EF22A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2022-12-21T06:02:00Z</dcterms:created>
  <dcterms:modified xsi:type="dcterms:W3CDTF">2022-12-21T06:03:00Z</dcterms:modified>
</cp:coreProperties>
</file>