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AB00F" w14:textId="12833D11" w:rsidR="002F2860" w:rsidRDefault="0040531A">
      <w:r>
        <w:rPr>
          <w:rFonts w:ascii="Verdana" w:hAnsi="Verdana"/>
          <w:color w:val="000000"/>
          <w:sz w:val="17"/>
          <w:szCs w:val="17"/>
          <w:shd w:val="clear" w:color="auto" w:fill="FFFFFF"/>
        </w:rPr>
        <w:t xml:space="preserve">Significance of Project Initiation. paper instructions: In the screenshot is the grading Rubric. There are 9 peer reviewed journal articles needed for citation. I have chosen these 9 that is at the bottom of the page. The instruction is as follows; Write a research paper based upon your chosen research topic, which synthesizes the journaled research from modules 1, 2 and 3. CONTENT: Subject matter should not be overly broad, but focused on a specific aspect of interest relate to the research topic. CRITICAL-THINKING: The opening paragraph (having a clear thesis), substance of the body (relevant supporting information), and conclusion (formulating a key thought) are very important; they are the main areas that demonstrate critical-thinking and comprehension of the methodology. Feel free to add related experiences, analogies, or researched case studies to add supporting substance. STRUCTURE: This paper should include a cover page, an abstract, 5 pages in body, and reference page. STYLE: It is expected that all papers be written in APA 6th edition format according to the University of Mary Standard. Penalties for form &amp; style errors will be significant. GRAMMER: Do not write in first person, passive voice, or contractions. Remember, this is a graduate program, and student-papers must be scholarly in nature. SOURCES: It is expected that scholarly, peer-reviewed sources be integrated into papers from your research journal. Ensure properly cited sources within the paper’s body with corresponding entry on reference page. RUBRIC: Please refer to the GTSB APA Paper rubric for each written assignment. Submit paper by Sunday night at midnight [due end of Module 4] for final grade. Conduct a peer review of the assigned research paper [due end of Module 5]. A Peer Review is an evaluation of academic work by peers in an effort to increase standards of quality and promote mastery-level writing. Academia uses this tool for determining a paper’s suitability for publication. Perform a thoughtful critique of your assigned peer-papers. Critiques should be completed by Friday night at midnight. Use rubric as the basis of the critique. Students will receive up to 20 points for submitting thoughtful peer reviews. References Briard, R., Bhuiyan, N., </w:t>
      </w:r>
      <w:proofErr w:type="spellStart"/>
      <w:r>
        <w:rPr>
          <w:rFonts w:ascii="Verdana" w:hAnsi="Verdana"/>
          <w:color w:val="000000"/>
          <w:sz w:val="17"/>
          <w:szCs w:val="17"/>
          <w:shd w:val="clear" w:color="auto" w:fill="FFFFFF"/>
        </w:rPr>
        <w:t>Sicotte</w:t>
      </w:r>
      <w:proofErr w:type="spellEnd"/>
      <w:r>
        <w:rPr>
          <w:rFonts w:ascii="Verdana" w:hAnsi="Verdana"/>
          <w:color w:val="000000"/>
          <w:sz w:val="17"/>
          <w:szCs w:val="17"/>
          <w:shd w:val="clear" w:color="auto" w:fill="FFFFFF"/>
        </w:rPr>
        <w:t xml:space="preserve">, H., &amp; </w:t>
      </w:r>
      <w:proofErr w:type="spellStart"/>
      <w:r>
        <w:rPr>
          <w:rFonts w:ascii="Verdana" w:hAnsi="Verdana"/>
          <w:color w:val="000000"/>
          <w:sz w:val="17"/>
          <w:szCs w:val="17"/>
          <w:shd w:val="clear" w:color="auto" w:fill="FFFFFF"/>
        </w:rPr>
        <w:t>Keshani</w:t>
      </w:r>
      <w:proofErr w:type="spellEnd"/>
      <w:r>
        <w:rPr>
          <w:rFonts w:ascii="Verdana" w:hAnsi="Verdana"/>
          <w:color w:val="000000"/>
          <w:sz w:val="17"/>
          <w:szCs w:val="17"/>
          <w:shd w:val="clear" w:color="auto" w:fill="FFFFFF"/>
        </w:rPr>
        <w:t xml:space="preserve">, P. (2020). Critical Success Factors in New Product Development Projects in a Weak Matrix Structure. Journal of Modern Project Management, 08(2), 38–57. </w:t>
      </w:r>
      <w:proofErr w:type="spellStart"/>
      <w:r>
        <w:rPr>
          <w:rFonts w:ascii="Verdana" w:hAnsi="Verdana"/>
          <w:color w:val="000000"/>
          <w:sz w:val="17"/>
          <w:szCs w:val="17"/>
          <w:shd w:val="clear" w:color="auto" w:fill="FFFFFF"/>
        </w:rPr>
        <w:t>Kloppenborg</w:t>
      </w:r>
      <w:proofErr w:type="spellEnd"/>
      <w:r>
        <w:rPr>
          <w:rFonts w:ascii="Verdana" w:hAnsi="Verdana"/>
          <w:color w:val="000000"/>
          <w:sz w:val="17"/>
          <w:szCs w:val="17"/>
          <w:shd w:val="clear" w:color="auto" w:fill="FFFFFF"/>
        </w:rPr>
        <w:t xml:space="preserve">, T. J., </w:t>
      </w:r>
      <w:proofErr w:type="spellStart"/>
      <w:r>
        <w:rPr>
          <w:rFonts w:ascii="Verdana" w:hAnsi="Verdana"/>
          <w:color w:val="000000"/>
          <w:sz w:val="17"/>
          <w:szCs w:val="17"/>
          <w:shd w:val="clear" w:color="auto" w:fill="FFFFFF"/>
        </w:rPr>
        <w:t>Manolis</w:t>
      </w:r>
      <w:proofErr w:type="spellEnd"/>
      <w:r>
        <w:rPr>
          <w:rFonts w:ascii="Verdana" w:hAnsi="Verdana"/>
          <w:color w:val="000000"/>
          <w:sz w:val="17"/>
          <w:szCs w:val="17"/>
          <w:shd w:val="clear" w:color="auto" w:fill="FFFFFF"/>
        </w:rPr>
        <w:t xml:space="preserve">, C., &amp; </w:t>
      </w:r>
      <w:proofErr w:type="spellStart"/>
      <w:r>
        <w:rPr>
          <w:rFonts w:ascii="Verdana" w:hAnsi="Verdana"/>
          <w:color w:val="000000"/>
          <w:sz w:val="17"/>
          <w:szCs w:val="17"/>
          <w:shd w:val="clear" w:color="auto" w:fill="FFFFFF"/>
        </w:rPr>
        <w:t>Tesch</w:t>
      </w:r>
      <w:proofErr w:type="spellEnd"/>
      <w:r>
        <w:rPr>
          <w:rFonts w:ascii="Verdana" w:hAnsi="Verdana"/>
          <w:color w:val="000000"/>
          <w:sz w:val="17"/>
          <w:szCs w:val="17"/>
          <w:shd w:val="clear" w:color="auto" w:fill="FFFFFF"/>
        </w:rPr>
        <w:t xml:space="preserve">, D. (2009). Successful Project Sponsor Behaviors During Project Initiation: An Empirical Investigation. Journal of Managerial Issues, 21(1), 140–159. Finn, J. (2022). Project management: Beauty and the beast. Rubber World, 266(6), 18–19. </w:t>
      </w:r>
      <w:proofErr w:type="spellStart"/>
      <w:r>
        <w:rPr>
          <w:rFonts w:ascii="Verdana" w:hAnsi="Verdana"/>
          <w:color w:val="000000"/>
          <w:sz w:val="17"/>
          <w:szCs w:val="17"/>
          <w:shd w:val="clear" w:color="auto" w:fill="FFFFFF"/>
        </w:rPr>
        <w:t>Zwikael</w:t>
      </w:r>
      <w:proofErr w:type="spellEnd"/>
      <w:r>
        <w:rPr>
          <w:rFonts w:ascii="Verdana" w:hAnsi="Verdana"/>
          <w:color w:val="000000"/>
          <w:sz w:val="17"/>
          <w:szCs w:val="17"/>
          <w:shd w:val="clear" w:color="auto" w:fill="FFFFFF"/>
        </w:rPr>
        <w:t xml:space="preserve">, O., &amp; Gilchrist, A. (2023). Planning to Fail: When Is Project Planning Counterproductive? IEEE Transactions on Engineering Management, 70(1), 220–231. https://doi-org.ezproxy.umary.edu/10.1109/TEM.2021.3053585 Radu, M., &amp; </w:t>
      </w:r>
      <w:proofErr w:type="spellStart"/>
      <w:r>
        <w:rPr>
          <w:rFonts w:ascii="Verdana" w:hAnsi="Verdana"/>
          <w:color w:val="000000"/>
          <w:sz w:val="17"/>
          <w:szCs w:val="17"/>
          <w:shd w:val="clear" w:color="auto" w:fill="FFFFFF"/>
        </w:rPr>
        <w:t>Nistor</w:t>
      </w:r>
      <w:proofErr w:type="spellEnd"/>
      <w:r>
        <w:rPr>
          <w:rFonts w:ascii="Verdana" w:hAnsi="Verdana"/>
          <w:color w:val="000000"/>
          <w:sz w:val="17"/>
          <w:szCs w:val="17"/>
          <w:shd w:val="clear" w:color="auto" w:fill="FFFFFF"/>
        </w:rPr>
        <w:t xml:space="preserve">, R. (2013). Project Initiation and Project Management Approach - an Expensive Connection. Managerial Challenges of the Contemporary Society, 6, 67–70. Soderberg, E. (2020). Project initiation as the beginning of the end: Mediating temporal tensions in school’s health projects. International Journal of Project Management, 38(6), 343–352. https://doi-org.ezproxy.umary.edu/10.1016/j.ijproman.2020.08.002 </w:t>
      </w:r>
      <w:proofErr w:type="spellStart"/>
      <w:r>
        <w:rPr>
          <w:rFonts w:ascii="Verdana" w:hAnsi="Verdana"/>
          <w:color w:val="000000"/>
          <w:sz w:val="17"/>
          <w:szCs w:val="17"/>
          <w:shd w:val="clear" w:color="auto" w:fill="FFFFFF"/>
        </w:rPr>
        <w:t>Lorente</w:t>
      </w:r>
      <w:proofErr w:type="spellEnd"/>
      <w:r>
        <w:rPr>
          <w:rFonts w:ascii="Verdana" w:hAnsi="Verdana"/>
          <w:color w:val="000000"/>
          <w:sz w:val="17"/>
          <w:szCs w:val="17"/>
          <w:shd w:val="clear" w:color="auto" w:fill="FFFFFF"/>
        </w:rPr>
        <w:t xml:space="preserve">, M., Hogg, G., &amp; Ker, J. (2006). The challenges of initiating a multi-professional clinical skills project. Journal of Interprofessional Care, 20(3), 290–301. https://doi-org.ezproxy.umary.edu/10.1080/13561820600649755 </w:t>
      </w:r>
      <w:proofErr w:type="spellStart"/>
      <w:r>
        <w:rPr>
          <w:rFonts w:ascii="Verdana" w:hAnsi="Verdana"/>
          <w:color w:val="000000"/>
          <w:sz w:val="17"/>
          <w:szCs w:val="17"/>
          <w:shd w:val="clear" w:color="auto" w:fill="FFFFFF"/>
        </w:rPr>
        <w:t>Grillitschx</w:t>
      </w:r>
      <w:proofErr w:type="spellEnd"/>
      <w:r>
        <w:rPr>
          <w:rFonts w:ascii="Verdana" w:hAnsi="Verdana"/>
          <w:color w:val="000000"/>
          <w:sz w:val="17"/>
          <w:szCs w:val="17"/>
          <w:shd w:val="clear" w:color="auto" w:fill="FFFFFF"/>
        </w:rPr>
        <w:t>, W., Müller-</w:t>
      </w:r>
      <w:proofErr w:type="spellStart"/>
      <w:r>
        <w:rPr>
          <w:rFonts w:ascii="Verdana" w:hAnsi="Verdana"/>
          <w:color w:val="000000"/>
          <w:sz w:val="17"/>
          <w:szCs w:val="17"/>
          <w:shd w:val="clear" w:color="auto" w:fill="FFFFFF"/>
        </w:rPr>
        <w:t>Stingl</w:t>
      </w:r>
      <w:proofErr w:type="spellEnd"/>
      <w:r>
        <w:rPr>
          <w:rFonts w:ascii="Verdana" w:hAnsi="Verdana"/>
          <w:color w:val="000000"/>
          <w:sz w:val="17"/>
          <w:szCs w:val="17"/>
          <w:shd w:val="clear" w:color="auto" w:fill="FFFFFF"/>
        </w:rPr>
        <w:t xml:space="preserve">, A., &amp; Neumann, R. (2007). Successful Sharing of Project Knowledge: Initiation, Implementation, and </w:t>
      </w:r>
      <w:proofErr w:type="spellStart"/>
      <w:r>
        <w:rPr>
          <w:rFonts w:ascii="Verdana" w:hAnsi="Verdana"/>
          <w:color w:val="000000"/>
          <w:sz w:val="17"/>
          <w:szCs w:val="17"/>
          <w:shd w:val="clear" w:color="auto" w:fill="FFFFFF"/>
        </w:rPr>
        <w:t>Institutionalisation</w:t>
      </w:r>
      <w:proofErr w:type="spellEnd"/>
      <w:r>
        <w:rPr>
          <w:rFonts w:ascii="Verdana" w:hAnsi="Verdana"/>
          <w:color w:val="000000"/>
          <w:sz w:val="17"/>
          <w:szCs w:val="17"/>
          <w:shd w:val="clear" w:color="auto" w:fill="FFFFFF"/>
        </w:rPr>
        <w:t xml:space="preserve">. Electronic Journal of Knowledge Management, 5(1), 19–28. </w:t>
      </w:r>
      <w:proofErr w:type="spellStart"/>
      <w:r>
        <w:rPr>
          <w:rFonts w:ascii="Verdana" w:hAnsi="Verdana"/>
          <w:color w:val="000000"/>
          <w:sz w:val="17"/>
          <w:szCs w:val="17"/>
          <w:shd w:val="clear" w:color="auto" w:fill="FFFFFF"/>
        </w:rPr>
        <w:t>Musostova</w:t>
      </w:r>
      <w:proofErr w:type="spellEnd"/>
      <w:r>
        <w:rPr>
          <w:rFonts w:ascii="Verdana" w:hAnsi="Verdana"/>
          <w:color w:val="000000"/>
          <w:sz w:val="17"/>
          <w:szCs w:val="17"/>
          <w:shd w:val="clear" w:color="auto" w:fill="FFFFFF"/>
        </w:rPr>
        <w:t xml:space="preserve">, D., </w:t>
      </w:r>
      <w:proofErr w:type="spellStart"/>
      <w:r>
        <w:rPr>
          <w:rFonts w:ascii="Verdana" w:hAnsi="Verdana"/>
          <w:color w:val="000000"/>
          <w:sz w:val="17"/>
          <w:szCs w:val="17"/>
          <w:shd w:val="clear" w:color="auto" w:fill="FFFFFF"/>
        </w:rPr>
        <w:t>Dzobelova</w:t>
      </w:r>
      <w:proofErr w:type="spellEnd"/>
      <w:r>
        <w:rPr>
          <w:rFonts w:ascii="Verdana" w:hAnsi="Verdana"/>
          <w:color w:val="000000"/>
          <w:sz w:val="17"/>
          <w:szCs w:val="17"/>
          <w:shd w:val="clear" w:color="auto" w:fill="FFFFFF"/>
        </w:rPr>
        <w:t xml:space="preserve">, V., &amp; </w:t>
      </w:r>
      <w:proofErr w:type="spellStart"/>
      <w:r>
        <w:rPr>
          <w:rFonts w:ascii="Verdana" w:hAnsi="Verdana"/>
          <w:color w:val="000000"/>
          <w:sz w:val="17"/>
          <w:szCs w:val="17"/>
          <w:shd w:val="clear" w:color="auto" w:fill="FFFFFF"/>
        </w:rPr>
        <w:t>Markaryan</w:t>
      </w:r>
      <w:proofErr w:type="spellEnd"/>
      <w:r>
        <w:rPr>
          <w:rFonts w:ascii="Verdana" w:hAnsi="Verdana"/>
          <w:color w:val="000000"/>
          <w:sz w:val="17"/>
          <w:szCs w:val="17"/>
          <w:shd w:val="clear" w:color="auto" w:fill="FFFFFF"/>
        </w:rPr>
        <w:t>, V. (2022). Project Risk Management. Reliability: Theory &amp; Applications, 17, 549–552.</w:t>
      </w:r>
    </w:p>
    <w:sectPr w:rsidR="002F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1A"/>
    <w:rsid w:val="002F2860"/>
    <w:rsid w:val="0040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C7FF"/>
  <w15:chartTrackingRefBased/>
  <w15:docId w15:val="{3048D490-F49E-4554-BC7E-EE67E2EE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2023-01-30T19:13:00Z</dcterms:created>
  <dcterms:modified xsi:type="dcterms:W3CDTF">2023-01-30T19:13:00Z</dcterms:modified>
</cp:coreProperties>
</file>