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FF85" w14:textId="5218E70F" w:rsidR="00404AC1" w:rsidRDefault="00DC5A22">
      <w:r>
        <w:rPr>
          <w:rFonts w:ascii="Verdana" w:hAnsi="Verdana"/>
          <w:color w:val="000000"/>
          <w:sz w:val="17"/>
          <w:szCs w:val="17"/>
          <w:shd w:val="clear" w:color="auto" w:fill="FFFFFF"/>
        </w:rPr>
        <w:t>At least two ways socioeconomic status and poverty may influence young children and families, and why it is important for early childhood professionals to understand these influences. (2-3 paragraphs) At least two ways trauma may influence young children and families, and why understanding the possible influences of trauma is important for early childhood professionals. (2-3 paragraphs) At least two insights you have gained about the possible effects of strong social-emotional supports on young children and families. (2-3 paragraphs) At least three insights about the characteristics of strong families you would most want to share with families of young children with whom you work, and why. (2-3 paragraphs) How knowledge of all of these influences will empower you to play an integral and meaningful role in the community of support of each child and family with whom you work. (2-3 paragraphs)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22"/>
    <w:rsid w:val="00404AC1"/>
    <w:rsid w:val="00DC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7B5D"/>
  <w15:chartTrackingRefBased/>
  <w15:docId w15:val="{31F1029D-8CC7-4035-AD19-1CB1FB93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2023-01-05T08:11:00Z</dcterms:created>
  <dcterms:modified xsi:type="dcterms:W3CDTF">2023-01-05T08:12:00Z</dcterms:modified>
</cp:coreProperties>
</file>