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4152" w14:textId="0D2EC649" w:rsidR="00404AC1" w:rsidRDefault="00BE5DCE">
      <w:r>
        <w:rPr>
          <w:rFonts w:ascii="Verdana" w:hAnsi="Verdana"/>
          <w:color w:val="000000"/>
          <w:sz w:val="17"/>
          <w:szCs w:val="17"/>
          <w:shd w:val="clear" w:color="auto" w:fill="FFFFFF"/>
        </w:rPr>
        <w:t>Topic 4 DQ 1 Support groups are separate from clinical therapy groups. Why is it important for substance use disorder counselors to know what happens in non-clinical support groups? What faith-based programs or organizations are in your area? How could this knowledge benefit treatment that is provided to the client? Topic 4 DQ 2 Reflect on Matthew 7:12, Ephesians 4:32, and I Peter 3:8. Why is it important to develop an empathetic relationship with a client with a substance use disorder? How would you challenge behaviors and thoughts that are not recovery promoting? Furthermore, how would you provide information to them relating to substance use disorder and treatment? Topic 5 DQ 1 Describe the importance of having family and faith community involved in the treatment process for substance use disorders. How can you involve family and faith community in the treatment and recovery process? Include at least two inclusive strategies in your response. Topic 5 DQ 2 Why is it important for a professional counselor to understand the levels of care established by the American Society of Addiction Medicine (ASAM)? What can you do as a counselor or administrator to ensure individuals with disabilities are able to receive services?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CE"/>
    <w:rsid w:val="00404AC1"/>
    <w:rsid w:val="00B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002F"/>
  <w15:chartTrackingRefBased/>
  <w15:docId w15:val="{4DAB63FA-CB5F-4BF1-AEE7-3B87C38A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2023-01-10T06:08:00Z</dcterms:created>
  <dcterms:modified xsi:type="dcterms:W3CDTF">2023-01-10T06:08:00Z</dcterms:modified>
</cp:coreProperties>
</file>