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F53E" w14:textId="4C5C05E8" w:rsidR="00404AC1" w:rsidRDefault="0082481A">
      <w:r>
        <w:rPr>
          <w:rFonts w:ascii="Verdana" w:hAnsi="Verdana"/>
          <w:color w:val="000000"/>
          <w:sz w:val="17"/>
          <w:szCs w:val="17"/>
          <w:shd w:val="clear" w:color="auto" w:fill="FFFFFF"/>
        </w:rPr>
        <w:t>Topic 8 DQ 1 - 2/10/23 Assume you are working at an agency with both inpatient and outpatient services. Mary is a client of yours in inpatient so you will be working with her one-on-one at least once a week in inpatient treatment then she will transfer levels (from Level III to Level II) at which point you will also be her counselor in intensive outpatient. Based on Chapter 8 and your knowledge of clinical interventions, how could you integrate specific counseling interventions (such as CBT, MI, and SF) that target triggers into both inpatient and outpatient treatment? Consider Bible-based or Christian Counseling interventions. Her diagnoses include Alcohol Use Disorder, Opiate Use Disorder, and Generalized Anxiety Disorder (GAD). Use headings: Inpatient Interventions, Outpatient Interventions. Topic 8 DQ 2 - 2/10/23 Consider coping strategies that are used in faith-based programs or organizations. How do coping strategies help clients prevent relapse? Present at least two examples of coping strategies and explain how they may benefit the client, their family, and the community in which they live and work.</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1A"/>
    <w:rsid w:val="00404AC1"/>
    <w:rsid w:val="0082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8CB2"/>
  <w15:chartTrackingRefBased/>
  <w15:docId w15:val="{672622CD-1E5E-4426-8557-22085450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2023-01-10T06:12:00Z</dcterms:created>
  <dcterms:modified xsi:type="dcterms:W3CDTF">2023-01-10T06:13:00Z</dcterms:modified>
</cp:coreProperties>
</file>