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C9BA" w14:textId="57B924C1" w:rsidR="00EB415E" w:rsidRDefault="00D83FB7">
      <w:r>
        <w:rPr>
          <w:rFonts w:ascii="Verdana" w:hAnsi="Verdana"/>
          <w:color w:val="000000"/>
          <w:sz w:val="17"/>
          <w:szCs w:val="17"/>
          <w:shd w:val="clear" w:color="auto" w:fill="FFFFFF"/>
        </w:rPr>
        <w:t>Instructions: This module covered the intersection between Cognitive Behavioral Therapy and group processes, using Al-Anon as an example and case study. For this week's Discussion board post, please address the following: Besides the example(s) given in the lecture, identify how CBT informs or could be used as a framework for at least three of the twelve steps. Describe why or how specifically. Reply to at least two of your peers. In your replies, please address the following: What have you learned about how CBT might work with the twelve steps from your peer? What have they pointed out that you may not have considered? How has your peer helped you consider CBT practices in group work?</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B7"/>
    <w:rsid w:val="00D83FB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0BFF"/>
  <w15:chartTrackingRefBased/>
  <w15:docId w15:val="{86BFDE5C-D9BF-4027-968A-B964407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2023-02-17T20:25:00Z</dcterms:created>
  <dcterms:modified xsi:type="dcterms:W3CDTF">2023-02-17T20:25:00Z</dcterms:modified>
</cp:coreProperties>
</file>