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34EF38" w14:textId="2E3765BA" w:rsidR="002811A5" w:rsidRDefault="00B001CC">
      <w:r>
        <w:rPr>
          <w:rFonts w:ascii="Verdana" w:hAnsi="Verdana"/>
          <w:color w:val="000000"/>
          <w:sz w:val="17"/>
          <w:szCs w:val="17"/>
          <w:shd w:val="clear" w:color="auto" w:fill="FFFFFF"/>
        </w:rPr>
        <w:t>Discuss both the role and legal obligations of the AGACNP in facilitating end-of-life care, including advanced directives and living wills. Differentiate between advanced directives and living wills. Incorporate a terminal disease state explaining the treatment options as it relates to advance directives and living wills. Discuss a time when family members may have disagreed with the patient's requests. How did you handle the situation? 6DQ1. Utilizing one of the AHRQ QI categories (either different or the one you used in DQ 1) apply to a patient population whereby you expand a treatment plan with evidenced based practiced (EBP) within the hospital setting. Topic: Preventing Community acquired Pneumonia in Older Adults https://www.ahrq.gov/programs/index.html?search_api_views_fulltext=&amp;field_program_topics=14177 Utilizing one of the AHRQ QI categories (either different or the one you used in DQ 1) apply to a patient population whereby you expand a treatment plan with evidenced based practiced (EBP) within the hospital setting. Topic: Preventing Community acquired Pneumonia in Older Adults https://www.ahrq.gov/programs/index.html?search_api_views_fulltext=&amp;field_program_topics=14177</w:t>
      </w:r>
    </w:p>
    <w:sectPr w:rsidR="00281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1CC"/>
    <w:rsid w:val="002811A5"/>
    <w:rsid w:val="00B0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47E1"/>
  <w15:chartTrackingRefBased/>
  <w15:docId w15:val="{87A09524-2109-4B3C-A489-BF476011B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2023-02-06T07:32:00Z</dcterms:created>
  <dcterms:modified xsi:type="dcterms:W3CDTF">2023-02-06T07:32:00Z</dcterms:modified>
</cp:coreProperties>
</file>