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9EAA" w14:textId="1E580DD4" w:rsidR="009F71C0" w:rsidRDefault="00EF5B6E">
      <w:r>
        <w:rPr>
          <w:rFonts w:ascii="Verdana" w:hAnsi="Verdana"/>
          <w:color w:val="000000"/>
          <w:sz w:val="17"/>
          <w:szCs w:val="17"/>
          <w:shd w:val="clear" w:color="auto" w:fill="FFFFFF"/>
        </w:rPr>
        <w:t>Topic: New Technology and Ethical considerations in Accounting Essay. The best written products explore narrowly defined topics and integrates themes and concepts from the course. The following guidelines should be followed: 1,500-2,000 words (excluding references) In-text citations and references provided Single-spaced with double spacing between paragraphs No title page needed Name top left Panther ID under name Title – Centered Sample Topics The guidelines and limits Foreign Corrupt Practice Act Ethical, Legal, and Social Implications of the use of AI in Selection and Talent Management Ethical Issues Related to the Marketing of Tobacco in Developing Countries Ethical Considerations to the Marketing of Fast Food Examination of a Specific Corporate Scandal (there are many to choose from) Ethical Considerations to Off-Shoring Dangerous Work</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E"/>
    <w:rsid w:val="009F71C0"/>
    <w:rsid w:val="00EF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6BC"/>
  <w15:chartTrackingRefBased/>
  <w15:docId w15:val="{16910A72-BABC-49E0-9EAB-3BDF2B31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2023-03-14T20:40:00Z</dcterms:created>
  <dcterms:modified xsi:type="dcterms:W3CDTF">2023-03-14T20:41:00Z</dcterms:modified>
</cp:coreProperties>
</file>